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21179">
        <w:rPr>
          <w:rFonts w:ascii="Times New Roman" w:hAnsi="Times New Roman"/>
          <w:bCs/>
          <w:color w:val="FF0000"/>
          <w:sz w:val="20"/>
          <w:szCs w:val="20"/>
          <w:highlight w:val="yellow"/>
        </w:rPr>
        <w:t>1</w:t>
      </w:r>
      <w:r w:rsidR="000E4A84">
        <w:rPr>
          <w:rFonts w:ascii="Times New Roman" w:hAnsi="Times New Roman"/>
          <w:bCs/>
          <w:color w:val="FF0000"/>
          <w:sz w:val="20"/>
          <w:szCs w:val="20"/>
          <w:highlight w:val="yellow"/>
          <w:lang w:val="en-US"/>
        </w:rPr>
        <w:t>9</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DD3C57">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921179">
        <w:rPr>
          <w:rFonts w:ascii="Times New Roman" w:hAnsi="Times New Roman"/>
          <w:bCs/>
          <w:color w:val="FF0000"/>
          <w:sz w:val="20"/>
          <w:szCs w:val="20"/>
          <w:highlight w:val="yellow"/>
        </w:rPr>
        <w:t>3</w:t>
      </w:r>
      <w:r w:rsidR="000E4A84">
        <w:rPr>
          <w:rFonts w:ascii="Times New Roman" w:hAnsi="Times New Roman"/>
          <w:bCs/>
          <w:color w:val="FF0000"/>
          <w:sz w:val="20"/>
          <w:szCs w:val="20"/>
          <w:highlight w:val="yellow"/>
          <w:lang w:val="en-US"/>
        </w:rPr>
        <w:t>52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0E4A84">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DD3C57">
              <w:rPr>
                <w:rFonts w:ascii="Times New Roman" w:hAnsi="Times New Roman"/>
                <w:sz w:val="24"/>
                <w:szCs w:val="24"/>
              </w:rPr>
              <w:t>60</w:t>
            </w:r>
            <w:r w:rsidR="00301E31">
              <w:rPr>
                <w:rFonts w:ascii="Times New Roman" w:hAnsi="Times New Roman"/>
                <w:sz w:val="24"/>
                <w:szCs w:val="24"/>
              </w:rPr>
              <w:t>7</w:t>
            </w:r>
            <w:r w:rsidR="00987D9D">
              <w:rPr>
                <w:rFonts w:ascii="Times New Roman" w:hAnsi="Times New Roman"/>
                <w:sz w:val="24"/>
                <w:szCs w:val="24"/>
              </w:rPr>
              <w:t> </w:t>
            </w:r>
            <w:r w:rsidR="000E4A84" w:rsidRPr="000E4A84">
              <w:rPr>
                <w:rFonts w:ascii="Times New Roman" w:hAnsi="Times New Roman"/>
                <w:sz w:val="24"/>
                <w:szCs w:val="24"/>
              </w:rPr>
              <w:t>75</w:t>
            </w:r>
            <w:r w:rsidR="00301E31">
              <w:rPr>
                <w:rFonts w:ascii="Times New Roman" w:hAnsi="Times New Roman"/>
                <w:sz w:val="24"/>
                <w:szCs w:val="24"/>
              </w:rPr>
              <w:t>6</w:t>
            </w:r>
            <w:r w:rsidR="00987D9D">
              <w:rPr>
                <w:rFonts w:ascii="Times New Roman" w:hAnsi="Times New Roman"/>
                <w:sz w:val="24"/>
                <w:szCs w:val="24"/>
              </w:rPr>
              <w:t>,</w:t>
            </w:r>
            <w:r w:rsidR="000E4A84" w:rsidRPr="000E4A84">
              <w:rPr>
                <w:rFonts w:ascii="Times New Roman" w:hAnsi="Times New Roman"/>
                <w:sz w:val="24"/>
                <w:szCs w:val="24"/>
              </w:rPr>
              <w:t>7</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0E4A84" w:rsidRDefault="006578ED" w:rsidP="000E4A84">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w:t>
            </w:r>
            <w:r w:rsidR="000E4A84">
              <w:rPr>
                <w:rFonts w:ascii="Times New Roman" w:hAnsi="Times New Roman"/>
                <w:sz w:val="20"/>
                <w:szCs w:val="20"/>
                <w:lang w:val="en-US"/>
              </w:rPr>
              <w:t>6</w:t>
            </w:r>
            <w:r w:rsidR="00862EBD" w:rsidRPr="003970CF">
              <w:rPr>
                <w:rFonts w:ascii="Times New Roman" w:hAnsi="Times New Roman"/>
                <w:sz w:val="20"/>
                <w:szCs w:val="20"/>
              </w:rPr>
              <w:t> </w:t>
            </w:r>
            <w:r w:rsidR="000E4A84">
              <w:rPr>
                <w:rFonts w:ascii="Times New Roman" w:hAnsi="Times New Roman"/>
                <w:sz w:val="20"/>
                <w:szCs w:val="20"/>
                <w:lang w:val="en-US"/>
              </w:rPr>
              <w:t>00</w:t>
            </w:r>
            <w:r w:rsidR="00301E31">
              <w:rPr>
                <w:rFonts w:ascii="Times New Roman" w:hAnsi="Times New Roman"/>
                <w:sz w:val="20"/>
                <w:szCs w:val="20"/>
              </w:rPr>
              <w:t>9</w:t>
            </w:r>
            <w:r w:rsidR="00862EBD" w:rsidRPr="003970CF">
              <w:rPr>
                <w:rFonts w:ascii="Times New Roman" w:hAnsi="Times New Roman"/>
                <w:sz w:val="20"/>
                <w:szCs w:val="20"/>
              </w:rPr>
              <w:t>,</w:t>
            </w:r>
            <w:r w:rsidR="000E4A84">
              <w:rPr>
                <w:rFonts w:ascii="Times New Roman" w:hAnsi="Times New Roman"/>
                <w:sz w:val="20"/>
                <w:szCs w:val="20"/>
                <w:lang w:val="en-US"/>
              </w:rPr>
              <w:t>6</w:t>
            </w:r>
          </w:p>
        </w:tc>
        <w:tc>
          <w:tcPr>
            <w:tcW w:w="1276" w:type="dxa"/>
            <w:tcMar>
              <w:top w:w="0" w:type="dxa"/>
              <w:left w:w="0" w:type="dxa"/>
              <w:bottom w:w="0" w:type="dxa"/>
              <w:right w:w="0" w:type="dxa"/>
            </w:tcMa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31</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0E4A84" w:rsidRDefault="00926C63" w:rsidP="000E4A84">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3E389C">
              <w:rPr>
                <w:rFonts w:ascii="Times New Roman" w:hAnsi="Times New Roman"/>
                <w:sz w:val="20"/>
                <w:szCs w:val="20"/>
                <w:lang w:val="en-US"/>
              </w:rPr>
              <w:t>8</w:t>
            </w:r>
            <w:r w:rsidR="00301E31">
              <w:rPr>
                <w:rFonts w:ascii="Times New Roman" w:hAnsi="Times New Roman"/>
                <w:sz w:val="20"/>
                <w:szCs w:val="20"/>
              </w:rPr>
              <w:t>5</w:t>
            </w:r>
            <w:r w:rsidR="00862EBD" w:rsidRPr="003970CF">
              <w:rPr>
                <w:rFonts w:ascii="Times New Roman" w:hAnsi="Times New Roman"/>
                <w:sz w:val="20"/>
                <w:szCs w:val="20"/>
              </w:rPr>
              <w:t> </w:t>
            </w:r>
            <w:r w:rsidR="000E4A84">
              <w:rPr>
                <w:rFonts w:ascii="Times New Roman" w:hAnsi="Times New Roman"/>
                <w:sz w:val="20"/>
                <w:szCs w:val="20"/>
                <w:lang w:val="en-US"/>
              </w:rPr>
              <w:t>609</w:t>
            </w:r>
            <w:r w:rsidR="00862EBD" w:rsidRPr="003970CF">
              <w:rPr>
                <w:rFonts w:ascii="Times New Roman" w:hAnsi="Times New Roman"/>
                <w:sz w:val="20"/>
                <w:szCs w:val="20"/>
              </w:rPr>
              <w:t>,</w:t>
            </w:r>
            <w:r w:rsidR="000E4A84">
              <w:rPr>
                <w:rFonts w:ascii="Times New Roman" w:hAnsi="Times New Roman"/>
                <w:sz w:val="20"/>
                <w:szCs w:val="20"/>
                <w:lang w:val="en-US"/>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0E4A84" w:rsidRDefault="00862EBD" w:rsidP="000E4A84">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301E31">
              <w:rPr>
                <w:rFonts w:ascii="Times New Roman" w:hAnsi="Times New Roman"/>
                <w:sz w:val="20"/>
                <w:szCs w:val="20"/>
              </w:rPr>
              <w:t>42</w:t>
            </w:r>
            <w:r w:rsidRPr="00EB5272">
              <w:rPr>
                <w:rFonts w:ascii="Times New Roman" w:hAnsi="Times New Roman"/>
                <w:sz w:val="20"/>
                <w:szCs w:val="20"/>
              </w:rPr>
              <w:t> </w:t>
            </w:r>
            <w:r w:rsidR="000E4A84">
              <w:rPr>
                <w:rFonts w:ascii="Times New Roman" w:hAnsi="Times New Roman"/>
                <w:sz w:val="20"/>
                <w:szCs w:val="20"/>
                <w:lang w:val="en-US"/>
              </w:rPr>
              <w:t>52</w:t>
            </w:r>
            <w:r w:rsidR="00301E31">
              <w:rPr>
                <w:rFonts w:ascii="Times New Roman" w:hAnsi="Times New Roman"/>
                <w:sz w:val="20"/>
                <w:szCs w:val="20"/>
              </w:rPr>
              <w:t>1</w:t>
            </w:r>
            <w:r w:rsidRPr="00EB5272">
              <w:rPr>
                <w:rFonts w:ascii="Times New Roman" w:hAnsi="Times New Roman"/>
                <w:sz w:val="20"/>
                <w:szCs w:val="20"/>
              </w:rPr>
              <w:t>,</w:t>
            </w:r>
            <w:r w:rsidR="000E4A84">
              <w:rPr>
                <w:rFonts w:ascii="Times New Roman" w:hAnsi="Times New Roman"/>
                <w:sz w:val="20"/>
                <w:szCs w:val="20"/>
                <w:lang w:val="en-US"/>
              </w:rPr>
              <w:t>6</w:t>
            </w:r>
          </w:p>
        </w:tc>
        <w:tc>
          <w:tcPr>
            <w:tcW w:w="1276" w:type="dxa"/>
            <w:tcMar>
              <w:top w:w="0" w:type="dxa"/>
              <w:left w:w="0" w:type="dxa"/>
              <w:bottom w:w="0" w:type="dxa"/>
              <w:right w:w="0" w:type="dxa"/>
            </w:tcMar>
            <w:vAlign w:val="center"/>
          </w:tcPr>
          <w:p w:rsidR="00862EBD" w:rsidRPr="00E03D32" w:rsidRDefault="0036685D" w:rsidP="00DD3C5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DD3C57">
              <w:rPr>
                <w:rFonts w:ascii="Times New Roman" w:hAnsi="Times New Roman"/>
                <w:sz w:val="20"/>
                <w:szCs w:val="20"/>
              </w:rPr>
              <w:t>56</w:t>
            </w:r>
            <w:r w:rsidR="00E03D32">
              <w:rPr>
                <w:rFonts w:ascii="Times New Roman" w:hAnsi="Times New Roman"/>
                <w:sz w:val="20"/>
                <w:szCs w:val="20"/>
                <w:lang w:val="en-US"/>
              </w:rPr>
              <w:t>5</w:t>
            </w:r>
            <w:r w:rsidR="00862EBD" w:rsidRPr="00EB5272">
              <w:rPr>
                <w:rFonts w:ascii="Times New Roman" w:hAnsi="Times New Roman"/>
                <w:sz w:val="20"/>
                <w:szCs w:val="20"/>
              </w:rPr>
              <w:t>,</w:t>
            </w:r>
            <w:r w:rsidR="00DD3C57">
              <w:rPr>
                <w:rFonts w:ascii="Times New Roman" w:hAnsi="Times New Roman"/>
                <w:sz w:val="20"/>
                <w:szCs w:val="20"/>
              </w:rPr>
              <w:t>9</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0E4A84" w:rsidRDefault="00A706EC" w:rsidP="000E4A84">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DD3C57">
              <w:rPr>
                <w:rFonts w:ascii="Times New Roman" w:hAnsi="Times New Roman"/>
                <w:sz w:val="18"/>
                <w:szCs w:val="18"/>
              </w:rPr>
              <w:t>60</w:t>
            </w:r>
            <w:r w:rsidR="00301E31">
              <w:rPr>
                <w:rFonts w:ascii="Times New Roman" w:hAnsi="Times New Roman"/>
                <w:sz w:val="18"/>
                <w:szCs w:val="18"/>
              </w:rPr>
              <w:t>7</w:t>
            </w:r>
            <w:r w:rsidR="00862EBD" w:rsidRPr="00713079">
              <w:rPr>
                <w:rFonts w:ascii="Times New Roman" w:hAnsi="Times New Roman"/>
                <w:sz w:val="18"/>
                <w:szCs w:val="18"/>
              </w:rPr>
              <w:t> </w:t>
            </w:r>
            <w:r w:rsidR="000E4A84">
              <w:rPr>
                <w:rFonts w:ascii="Times New Roman" w:hAnsi="Times New Roman"/>
                <w:sz w:val="18"/>
                <w:szCs w:val="18"/>
                <w:lang w:val="en-US"/>
              </w:rPr>
              <w:t>75</w:t>
            </w:r>
            <w:r w:rsidR="00301E31">
              <w:rPr>
                <w:rFonts w:ascii="Times New Roman" w:hAnsi="Times New Roman"/>
                <w:sz w:val="18"/>
                <w:szCs w:val="18"/>
              </w:rPr>
              <w:t>6</w:t>
            </w:r>
            <w:r w:rsidR="00862EBD" w:rsidRPr="00713079">
              <w:rPr>
                <w:rFonts w:ascii="Times New Roman" w:hAnsi="Times New Roman"/>
                <w:sz w:val="18"/>
                <w:szCs w:val="18"/>
              </w:rPr>
              <w:t>,</w:t>
            </w:r>
            <w:r w:rsidR="000E4A84">
              <w:rPr>
                <w:rFonts w:ascii="Times New Roman" w:hAnsi="Times New Roman"/>
                <w:sz w:val="18"/>
                <w:szCs w:val="18"/>
                <w:lang w:val="en-US"/>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0E4A84">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w:t>
            </w:r>
            <w:r w:rsidR="000E4A84" w:rsidRPr="000E4A84">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0E4A84" w:rsidRPr="000E4A84">
              <w:rPr>
                <w:rFonts w:ascii="Times New Roman" w:eastAsia="Times New Roman" w:hAnsi="Times New Roman"/>
                <w:sz w:val="24"/>
                <w:szCs w:val="24"/>
                <w:lang w:eastAsia="ru-RU"/>
              </w:rPr>
              <w:t>108</w:t>
            </w:r>
            <w:r w:rsidRPr="00304668">
              <w:rPr>
                <w:rFonts w:ascii="Times New Roman" w:eastAsia="Times New Roman" w:hAnsi="Times New Roman"/>
                <w:sz w:val="24"/>
                <w:szCs w:val="24"/>
                <w:lang w:eastAsia="ru-RU"/>
              </w:rPr>
              <w:t>,</w:t>
            </w:r>
            <w:r w:rsidR="000E4A84" w:rsidRPr="000E4A84">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w:t>
            </w:r>
            <w:r w:rsidR="000E4A84">
              <w:rPr>
                <w:rFonts w:ascii="Times New Roman" w:eastAsia="Times New Roman" w:hAnsi="Times New Roman"/>
                <w:sz w:val="24"/>
                <w:szCs w:val="24"/>
                <w:lang w:val="en-US" w:eastAsia="ru-RU"/>
              </w:rPr>
              <w:t>3</w:t>
            </w:r>
            <w:r w:rsidR="00304668"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014</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0E4A84">
              <w:rPr>
                <w:rFonts w:ascii="Times New Roman" w:eastAsia="Times New Roman" w:hAnsi="Times New Roman"/>
                <w:sz w:val="24"/>
                <w:szCs w:val="24"/>
                <w:lang w:val="en-US" w:eastAsia="ru-RU"/>
              </w:rPr>
              <w:t>5</w:t>
            </w:r>
            <w:r w:rsidR="00304668"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021</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0E4A84">
              <w:rPr>
                <w:rFonts w:ascii="Times New Roman" w:eastAsia="Times New Roman" w:hAnsi="Times New Roman"/>
                <w:sz w:val="24"/>
                <w:szCs w:val="24"/>
                <w:lang w:val="en-US" w:eastAsia="ru-RU"/>
              </w:rPr>
              <w:t>2</w:t>
            </w:r>
            <w:r w:rsidR="00FF2110">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718</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0E4A8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0E4A84">
              <w:rPr>
                <w:rFonts w:ascii="Times New Roman" w:eastAsia="Times New Roman" w:hAnsi="Times New Roman"/>
                <w:sz w:val="24"/>
                <w:szCs w:val="24"/>
                <w:lang w:val="en-US" w:eastAsia="ru-RU"/>
              </w:rPr>
              <w:t>79</w:t>
            </w:r>
            <w:r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108</w:t>
            </w:r>
            <w:r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9458C4">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9458C4" w:rsidRPr="009458C4">
              <w:rPr>
                <w:rFonts w:ascii="Times New Roman" w:hAnsi="Times New Roman"/>
                <w:sz w:val="24"/>
                <w:szCs w:val="24"/>
              </w:rPr>
              <w:t>7</w:t>
            </w:r>
            <w:r w:rsidRPr="00304668">
              <w:rPr>
                <w:rFonts w:ascii="Times New Roman" w:hAnsi="Times New Roman"/>
                <w:sz w:val="24"/>
                <w:szCs w:val="24"/>
              </w:rPr>
              <w:t> </w:t>
            </w:r>
            <w:r w:rsidR="000321CA">
              <w:rPr>
                <w:rFonts w:ascii="Times New Roman" w:hAnsi="Times New Roman"/>
                <w:sz w:val="24"/>
                <w:szCs w:val="24"/>
              </w:rPr>
              <w:t>7</w:t>
            </w:r>
            <w:r w:rsidR="009458C4" w:rsidRPr="009458C4">
              <w:rPr>
                <w:rFonts w:ascii="Times New Roman" w:hAnsi="Times New Roman"/>
                <w:sz w:val="24"/>
                <w:szCs w:val="24"/>
              </w:rPr>
              <w:t>8</w:t>
            </w:r>
            <w:r w:rsidR="000321CA">
              <w:rPr>
                <w:rFonts w:ascii="Times New Roman" w:hAnsi="Times New Roman"/>
                <w:sz w:val="24"/>
                <w:szCs w:val="24"/>
              </w:rPr>
              <w:t>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w:t>
            </w:r>
            <w:r w:rsidR="009458C4">
              <w:rPr>
                <w:rFonts w:ascii="Times New Roman" w:eastAsia="Times New Roman" w:hAnsi="Times New Roman"/>
                <w:sz w:val="24"/>
                <w:szCs w:val="24"/>
                <w:lang w:val="en-US" w:eastAsia="ru-RU"/>
              </w:rPr>
              <w:t>7</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w:t>
            </w:r>
            <w:r w:rsidR="009458C4">
              <w:rPr>
                <w:rFonts w:ascii="Times New Roman" w:eastAsia="Times New Roman" w:hAnsi="Times New Roman"/>
                <w:sz w:val="24"/>
                <w:szCs w:val="24"/>
                <w:lang w:val="en-US" w:eastAsia="ru-RU"/>
              </w:rPr>
              <w:t>4</w:t>
            </w:r>
            <w:r w:rsidR="00735A2A">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16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9458C4">
              <w:rPr>
                <w:rFonts w:ascii="Times New Roman" w:hAnsi="Times New Roman"/>
                <w:sz w:val="24"/>
                <w:szCs w:val="24"/>
                <w:lang w:val="en-US"/>
              </w:rPr>
              <w:t>9</w:t>
            </w:r>
            <w:r w:rsidR="00304668" w:rsidRPr="00304668">
              <w:rPr>
                <w:rFonts w:ascii="Times New Roman" w:hAnsi="Times New Roman"/>
                <w:sz w:val="24"/>
                <w:szCs w:val="24"/>
              </w:rPr>
              <w:t> </w:t>
            </w:r>
            <w:r w:rsidR="009458C4">
              <w:rPr>
                <w:rFonts w:ascii="Times New Roman" w:hAnsi="Times New Roman"/>
                <w:sz w:val="24"/>
                <w:szCs w:val="24"/>
                <w:lang w:val="en-US"/>
              </w:rPr>
              <w:t>81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9458C4">
              <w:rPr>
                <w:rFonts w:ascii="Times New Roman" w:hAnsi="Times New Roman"/>
                <w:sz w:val="24"/>
                <w:szCs w:val="24"/>
                <w:lang w:val="en-US"/>
              </w:rPr>
              <w:t>7</w:t>
            </w:r>
            <w:r w:rsidR="00DD6B60">
              <w:rPr>
                <w:rFonts w:ascii="Times New Roman" w:hAnsi="Times New Roman"/>
                <w:sz w:val="24"/>
                <w:szCs w:val="24"/>
              </w:rPr>
              <w:t> </w:t>
            </w:r>
            <w:r w:rsidR="000321CA">
              <w:rPr>
                <w:rFonts w:ascii="Times New Roman" w:hAnsi="Times New Roman"/>
                <w:sz w:val="24"/>
                <w:szCs w:val="24"/>
              </w:rPr>
              <w:t>7</w:t>
            </w:r>
            <w:r w:rsidR="009458C4">
              <w:rPr>
                <w:rFonts w:ascii="Times New Roman" w:hAnsi="Times New Roman"/>
                <w:sz w:val="24"/>
                <w:szCs w:val="24"/>
                <w:lang w:val="en-US"/>
              </w:rPr>
              <w:t>8</w:t>
            </w:r>
            <w:r w:rsidR="000321CA">
              <w:rPr>
                <w:rFonts w:ascii="Times New Roman" w:hAnsi="Times New Roman"/>
                <w:sz w:val="24"/>
                <w:szCs w:val="24"/>
              </w:rPr>
              <w:t>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9458C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AF4378">
              <w:rPr>
                <w:rFonts w:ascii="Times New Roman" w:eastAsia="Times New Roman" w:hAnsi="Times New Roman"/>
                <w:sz w:val="24"/>
                <w:szCs w:val="24"/>
                <w:lang w:eastAsia="ru-RU"/>
              </w:rPr>
              <w:t>88</w:t>
            </w:r>
            <w:r w:rsidRPr="00304668">
              <w:rPr>
                <w:rFonts w:ascii="Times New Roman" w:eastAsia="Times New Roman" w:hAnsi="Times New Roman"/>
                <w:sz w:val="24"/>
                <w:szCs w:val="24"/>
                <w:lang w:eastAsia="ru-RU"/>
              </w:rPr>
              <w:t xml:space="preserve"> </w:t>
            </w:r>
            <w:r w:rsidR="009458C4" w:rsidRPr="009458C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9458C4" w:rsidRPr="009458C4">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671B73" w:rsidP="009458C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99</w:t>
            </w:r>
            <w:r w:rsidR="00460A05">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9458C4">
              <w:rPr>
                <w:rFonts w:ascii="Times New Roman" w:eastAsia="Times New Roman" w:hAnsi="Times New Roman"/>
                <w:sz w:val="24"/>
                <w:szCs w:val="24"/>
                <w:lang w:val="en-US" w:eastAsia="ru-RU"/>
              </w:rPr>
              <w:t>0</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671B73" w:rsidP="009458C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9458C4">
              <w:rPr>
                <w:rFonts w:ascii="Times New Roman" w:eastAsia="Times New Roman" w:hAnsi="Times New Roman"/>
                <w:sz w:val="24"/>
                <w:szCs w:val="24"/>
                <w:lang w:val="en-US" w:eastAsia="ru-RU"/>
              </w:rPr>
              <w:t>2</w:t>
            </w:r>
            <w:r w:rsidR="00AD19F0" w:rsidRPr="00304668">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071</w:t>
            </w:r>
            <w:r w:rsidR="00AD19F0" w:rsidRPr="00304668">
              <w:rPr>
                <w:rFonts w:ascii="Times New Roman" w:eastAsia="Times New Roman" w:hAnsi="Times New Roman"/>
                <w:sz w:val="24"/>
                <w:szCs w:val="24"/>
                <w:lang w:eastAsia="ru-RU"/>
              </w:rPr>
              <w:t>,</w:t>
            </w:r>
            <w:r w:rsidR="009458C4">
              <w:rPr>
                <w:rFonts w:ascii="Times New Roman" w:eastAsia="Times New Roman" w:hAnsi="Times New Roman"/>
                <w:sz w:val="24"/>
                <w:szCs w:val="24"/>
                <w:lang w:val="en-US" w:eastAsia="ru-RU"/>
              </w:rPr>
              <w:t>5</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9458C4">
            <w:pPr>
              <w:spacing w:after="0" w:line="240" w:lineRule="auto"/>
              <w:jc w:val="center"/>
              <w:rPr>
                <w:rFonts w:ascii="Times New Roman" w:hAnsi="Times New Roman"/>
                <w:sz w:val="24"/>
                <w:szCs w:val="24"/>
                <w:lang w:val="en-US"/>
              </w:rPr>
            </w:pPr>
            <w:r>
              <w:rPr>
                <w:rFonts w:ascii="Times New Roman" w:hAnsi="Times New Roman"/>
                <w:sz w:val="24"/>
                <w:szCs w:val="24"/>
              </w:rPr>
              <w:t>903</w:t>
            </w:r>
            <w:r w:rsidR="00953677">
              <w:rPr>
                <w:rFonts w:ascii="Times New Roman" w:hAnsi="Times New Roman"/>
                <w:sz w:val="24"/>
                <w:szCs w:val="24"/>
              </w:rPr>
              <w:t xml:space="preserve"> </w:t>
            </w:r>
            <w:r w:rsidR="009458C4">
              <w:rPr>
                <w:rFonts w:ascii="Times New Roman" w:hAnsi="Times New Roman"/>
                <w:sz w:val="24"/>
                <w:szCs w:val="24"/>
                <w:lang w:val="en-US"/>
              </w:rPr>
              <w:t>973</w:t>
            </w:r>
            <w:r w:rsidR="00304668" w:rsidRPr="00304668">
              <w:rPr>
                <w:rFonts w:ascii="Times New Roman" w:hAnsi="Times New Roman"/>
                <w:sz w:val="24"/>
                <w:szCs w:val="24"/>
              </w:rPr>
              <w:t>,</w:t>
            </w:r>
            <w:r w:rsidR="009458C4">
              <w:rPr>
                <w:rFonts w:ascii="Times New Roman" w:hAnsi="Times New Roman"/>
                <w:sz w:val="24"/>
                <w:szCs w:val="24"/>
                <w:lang w:val="en-US"/>
              </w:rPr>
              <w:t>3</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9458C4">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AF4378">
              <w:rPr>
                <w:rFonts w:ascii="Times New Roman" w:hAnsi="Times New Roman"/>
                <w:sz w:val="24"/>
                <w:szCs w:val="24"/>
              </w:rPr>
              <w:t>88</w:t>
            </w:r>
            <w:r w:rsidR="00304668" w:rsidRPr="00304668">
              <w:rPr>
                <w:rFonts w:ascii="Times New Roman" w:hAnsi="Times New Roman"/>
                <w:sz w:val="24"/>
                <w:szCs w:val="24"/>
              </w:rPr>
              <w:t> </w:t>
            </w:r>
            <w:r w:rsidR="009458C4">
              <w:rPr>
                <w:rFonts w:ascii="Times New Roman" w:hAnsi="Times New Roman"/>
                <w:sz w:val="24"/>
                <w:szCs w:val="24"/>
                <w:lang w:val="en-US"/>
              </w:rPr>
              <w:t>908</w:t>
            </w:r>
            <w:r w:rsidR="00304668" w:rsidRPr="00304668">
              <w:rPr>
                <w:rFonts w:ascii="Times New Roman" w:hAnsi="Times New Roman"/>
                <w:sz w:val="24"/>
                <w:szCs w:val="24"/>
              </w:rPr>
              <w:t>,</w:t>
            </w:r>
            <w:r w:rsidR="009458C4">
              <w:rPr>
                <w:rFonts w:ascii="Times New Roman" w:hAnsi="Times New Roman"/>
                <w:sz w:val="24"/>
                <w:szCs w:val="24"/>
                <w:lang w:val="en-US"/>
              </w:rPr>
              <w:t>4</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9458C4"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458C4" w:rsidRDefault="003C3B10" w:rsidP="009458C4">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DD6053">
                                <w:rPr>
                                  <w:rFonts w:ascii="Times New Roman" w:hAnsi="Times New Roman"/>
                                  <w:sz w:val="20"/>
                                  <w:szCs w:val="20"/>
                                  <w:lang w:val="en-US"/>
                                </w:rPr>
                                <w:t>8</w:t>
                              </w:r>
                              <w:r w:rsidR="00301E31">
                                <w:rPr>
                                  <w:rFonts w:ascii="Times New Roman" w:hAnsi="Times New Roman"/>
                                  <w:sz w:val="20"/>
                                  <w:szCs w:val="20"/>
                                </w:rPr>
                                <w:t>5</w:t>
                              </w:r>
                              <w:r w:rsidR="00C27B8D" w:rsidRPr="00794C30">
                                <w:rPr>
                                  <w:rFonts w:ascii="Times New Roman" w:hAnsi="Times New Roman"/>
                                  <w:sz w:val="20"/>
                                  <w:szCs w:val="20"/>
                                </w:rPr>
                                <w:t> </w:t>
                              </w:r>
                              <w:r w:rsidR="009458C4">
                                <w:rPr>
                                  <w:rFonts w:ascii="Times New Roman" w:hAnsi="Times New Roman"/>
                                  <w:sz w:val="20"/>
                                  <w:szCs w:val="20"/>
                                  <w:lang w:val="en-US"/>
                                </w:rPr>
                                <w:t>609</w:t>
                              </w:r>
                              <w:r w:rsidR="00C27B8D" w:rsidRPr="00794C30">
                                <w:rPr>
                                  <w:rFonts w:ascii="Times New Roman" w:hAnsi="Times New Roman"/>
                                  <w:sz w:val="20"/>
                                  <w:szCs w:val="20"/>
                                </w:rPr>
                                <w:t>,</w:t>
                              </w:r>
                              <w:r w:rsidR="009458C4">
                                <w:rPr>
                                  <w:rFonts w:ascii="Times New Roman" w:hAnsi="Times New Roman"/>
                                  <w:sz w:val="20"/>
                                  <w:szCs w:val="20"/>
                                  <w:lang w:val="en-US"/>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458C4" w:rsidRDefault="00BE256F" w:rsidP="009458C4">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w:t>
                              </w:r>
                              <w:r w:rsidR="009458C4">
                                <w:rPr>
                                  <w:rFonts w:ascii="Times New Roman" w:hAnsi="Times New Roman"/>
                                  <w:sz w:val="20"/>
                                  <w:szCs w:val="20"/>
                                  <w:lang w:val="en-US"/>
                                </w:rPr>
                                <w:t>6</w:t>
                              </w:r>
                              <w:r w:rsidR="00C27B8D" w:rsidRPr="00794C30">
                                <w:rPr>
                                  <w:rFonts w:ascii="Times New Roman" w:hAnsi="Times New Roman"/>
                                  <w:sz w:val="20"/>
                                  <w:szCs w:val="20"/>
                                </w:rPr>
                                <w:t xml:space="preserve"> </w:t>
                              </w:r>
                              <w:r w:rsidR="009458C4">
                                <w:rPr>
                                  <w:rFonts w:ascii="Times New Roman" w:hAnsi="Times New Roman"/>
                                  <w:sz w:val="20"/>
                                  <w:szCs w:val="20"/>
                                  <w:lang w:val="en-US"/>
                                </w:rPr>
                                <w:t>00</w:t>
                              </w:r>
                              <w:r w:rsidR="00301E31">
                                <w:rPr>
                                  <w:rFonts w:ascii="Times New Roman" w:hAnsi="Times New Roman"/>
                                  <w:sz w:val="20"/>
                                  <w:szCs w:val="20"/>
                                </w:rPr>
                                <w:t>9</w:t>
                              </w:r>
                              <w:r w:rsidR="00C27B8D" w:rsidRPr="00794C30">
                                <w:rPr>
                                  <w:rFonts w:ascii="Times New Roman" w:hAnsi="Times New Roman"/>
                                  <w:sz w:val="20"/>
                                  <w:szCs w:val="20"/>
                                </w:rPr>
                                <w:t>,</w:t>
                              </w:r>
                              <w:r w:rsidR="009458C4">
                                <w:rPr>
                                  <w:rFonts w:ascii="Times New Roman" w:hAnsi="Times New Roman"/>
                                  <w:sz w:val="20"/>
                                  <w:szCs w:val="20"/>
                                  <w:lang w:val="en-US"/>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DD605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31</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021</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014</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005</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717</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18</w:t>
                              </w:r>
                              <w:r w:rsidR="00FB06A0"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249</w:t>
                              </w:r>
                              <w:r w:rsidR="00FB06A0"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9458C4">
                                <w:rPr>
                                  <w:rFonts w:ascii="Times New Roman" w:eastAsia="Times New Roman" w:hAnsi="Times New Roman"/>
                                  <w:sz w:val="20"/>
                                  <w:szCs w:val="20"/>
                                  <w:lang w:val="en-US" w:eastAsia="ru-RU" w:bidi="ru-RU"/>
                                </w:rPr>
                                <w:t>23</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059</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9458C4">
                                <w:rPr>
                                  <w:rFonts w:ascii="Times New Roman" w:eastAsia="Times New Roman" w:hAnsi="Times New Roman"/>
                                  <w:sz w:val="20"/>
                                  <w:szCs w:val="20"/>
                                  <w:lang w:val="en-US" w:eastAsia="ru-RU" w:bidi="ru-RU"/>
                                </w:rPr>
                                <w:t>9</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61</w:t>
                              </w:r>
                              <w:r w:rsidR="009558C1">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458C4"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w:t>
                              </w: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180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9458C4">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w:t>
                              </w:r>
                              <w:r w:rsidR="009458C4">
                                <w:rPr>
                                  <w:rFonts w:ascii="Times New Roman" w:hAnsi="Times New Roman"/>
                                  <w:sz w:val="20"/>
                                  <w:szCs w:val="20"/>
                                  <w:lang w:val="en-US" w:bidi="ru-RU"/>
                                </w:rPr>
                                <w:t>4</w:t>
                              </w:r>
                              <w:r w:rsidR="00FF31A2">
                                <w:rPr>
                                  <w:rFonts w:ascii="Times New Roman" w:hAnsi="Times New Roman"/>
                                  <w:sz w:val="20"/>
                                  <w:szCs w:val="20"/>
                                  <w:lang w:bidi="ru-RU"/>
                                </w:rPr>
                                <w:t xml:space="preserve"> </w:t>
                              </w:r>
                              <w:r w:rsidR="009458C4">
                                <w:rPr>
                                  <w:rFonts w:ascii="Times New Roman" w:hAnsi="Times New Roman"/>
                                  <w:sz w:val="20"/>
                                  <w:szCs w:val="20"/>
                                  <w:lang w:val="en-US" w:bidi="ru-RU"/>
                                </w:rPr>
                                <w:t>16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26D93">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w:t>
                              </w:r>
                              <w:r w:rsidR="00C26D93">
                                <w:rPr>
                                  <w:rFonts w:ascii="Times New Roman" w:hAnsi="Times New Roman"/>
                                  <w:sz w:val="20"/>
                                  <w:szCs w:val="20"/>
                                  <w:lang w:val="en-US" w:bidi="ru-RU"/>
                                </w:rPr>
                                <w:t>7</w:t>
                              </w:r>
                              <w:r w:rsidRPr="00794C30">
                                <w:rPr>
                                  <w:rFonts w:ascii="Times New Roman" w:hAnsi="Times New Roman"/>
                                  <w:sz w:val="20"/>
                                  <w:szCs w:val="20"/>
                                  <w:lang w:bidi="ru-RU"/>
                                </w:rPr>
                                <w:t> </w:t>
                              </w:r>
                              <w:r w:rsidR="00515DBF">
                                <w:rPr>
                                  <w:rFonts w:ascii="Times New Roman" w:hAnsi="Times New Roman"/>
                                  <w:sz w:val="20"/>
                                  <w:szCs w:val="20"/>
                                  <w:lang w:bidi="ru-RU"/>
                                </w:rPr>
                                <w:t>2</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C26D9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20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26D93">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64</w:t>
                              </w:r>
                              <w:r>
                                <w:rPr>
                                  <w:rFonts w:ascii="Times New Roman" w:hAnsi="Times New Roman"/>
                                  <w:sz w:val="20"/>
                                  <w:szCs w:val="20"/>
                                  <w:lang w:val="en-US" w:bidi="ru-RU"/>
                                </w:rPr>
                                <w:t>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D60D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DD60DA">
                                <w:rPr>
                                  <w:rFonts w:ascii="Times New Roman" w:eastAsia="Times New Roman" w:hAnsi="Times New Roman"/>
                                  <w:bCs/>
                                  <w:sz w:val="20"/>
                                  <w:szCs w:val="20"/>
                                  <w:lang w:eastAsia="ru-RU" w:bidi="ru-RU"/>
                                </w:rPr>
                                <w:t>963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3 963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D60D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DD60DA">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DD60DA">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C26D93">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sidR="00C26D93">
                                <w:rPr>
                                  <w:rFonts w:ascii="Times New Roman" w:eastAsia="Times New Roman" w:hAnsi="Times New Roman"/>
                                  <w:sz w:val="20"/>
                                  <w:szCs w:val="20"/>
                                  <w:lang w:val="en-US" w:eastAsia="ru-RU" w:bidi="ru-RU"/>
                                </w:rPr>
                                <w:t>071</w:t>
                              </w:r>
                              <w:r w:rsidRPr="00794C30">
                                <w:rPr>
                                  <w:rFonts w:ascii="Times New Roman" w:eastAsia="Times New Roman" w:hAnsi="Times New Roman"/>
                                  <w:sz w:val="20"/>
                                  <w:szCs w:val="20"/>
                                  <w:lang w:eastAsia="ru-RU" w:bidi="ru-RU"/>
                                </w:rPr>
                                <w:t>,</w:t>
                              </w:r>
                              <w:r w:rsidR="00C26D93">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C26D93">
                                <w:rPr>
                                  <w:rFonts w:ascii="Times New Roman" w:eastAsia="Times New Roman" w:hAnsi="Times New Roman"/>
                                  <w:sz w:val="20"/>
                                  <w:szCs w:val="20"/>
                                  <w:lang w:val="en-US" w:eastAsia="ru-RU" w:bidi="ru-RU"/>
                                </w:rPr>
                                <w:t>99</w:t>
                              </w:r>
                              <w:r w:rsidR="00460A05">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w:t>
                              </w:r>
                              <w:r w:rsidR="00C26D93">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20" w:rsidRDefault="00F12120">
      <w:pPr>
        <w:spacing w:after="0" w:line="240" w:lineRule="auto"/>
      </w:pPr>
      <w:r>
        <w:separator/>
      </w:r>
    </w:p>
  </w:endnote>
  <w:endnote w:type="continuationSeparator" w:id="0">
    <w:p w:rsidR="00F12120" w:rsidRDefault="00F1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20" w:rsidRDefault="00F12120">
      <w:pPr>
        <w:spacing w:after="0" w:line="240" w:lineRule="auto"/>
      </w:pPr>
      <w:r>
        <w:separator/>
      </w:r>
    </w:p>
  </w:footnote>
  <w:footnote w:type="continuationSeparator" w:id="0">
    <w:p w:rsidR="00F12120" w:rsidRDefault="00F12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9458C4" w:rsidRDefault="009458C4">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26D93">
          <w:rPr>
            <w:rFonts w:ascii="Times New Roman" w:hAnsi="Times New Roman" w:cs="Times New Roman"/>
            <w:noProof/>
            <w:sz w:val="28"/>
            <w:szCs w:val="28"/>
          </w:rPr>
          <w:t>80</w:t>
        </w:r>
        <w:r w:rsidRPr="007642D9">
          <w:rPr>
            <w:rFonts w:ascii="Times New Roman" w:hAnsi="Times New Roman" w:cs="Times New Roman"/>
            <w:sz w:val="28"/>
            <w:szCs w:val="28"/>
          </w:rPr>
          <w:fldChar w:fldCharType="end"/>
        </w:r>
      </w:p>
    </w:sdtContent>
  </w:sdt>
  <w:p w:rsidR="009458C4" w:rsidRDefault="009458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6465-218A-4130-9F8E-336E941F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86</Pages>
  <Words>25299</Words>
  <Characters>144207</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2025-08-20T07:43:00Z</dcterms:created>
  <dcterms:modified xsi:type="dcterms:W3CDTF">2025-08-20T07:59:00Z</dcterms:modified>
</cp:coreProperties>
</file>